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OLE_LINK5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cs="Arial"/>
          <w:b/>
          <w:sz w:val="24"/>
          <w:szCs w:val="24"/>
          <w:lang w:val="en-US" w:eastAsia="zh-CN"/>
        </w:rPr>
        <w:t xml:space="preserve">10 bis                                </w:t>
      </w:r>
      <w:r>
        <w:rPr>
          <w:rFonts w:hint="eastAsia" w:ascii="Arial" w:hAnsi="Arial" w:cs="Arial"/>
          <w:b/>
          <w:sz w:val="24"/>
          <w:szCs w:val="24"/>
        </w:rPr>
        <w:t>R4-2</w:t>
      </w:r>
      <w:r>
        <w:rPr>
          <w:rFonts w:hint="eastAsia" w:ascii="Arial" w:hAnsi="Arial" w:cs="Arial"/>
          <w:b/>
          <w:sz w:val="24"/>
          <w:szCs w:val="24"/>
          <w:lang w:val="en-US" w:eastAsia="zh-CN"/>
        </w:rPr>
        <w:t>404584</w:t>
      </w:r>
    </w:p>
    <w:bookmarkEnd w:id="0"/>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hint="eastAsia" w:ascii="Arial" w:hAnsi="Arial"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cs="Arial"/>
          <w:b/>
          <w:sz w:val="24"/>
          <w:szCs w:val="24"/>
          <w:lang w:val="en-US" w:eastAsia="zh-CN"/>
        </w:rPr>
        <w:t>Hunan Province</w:t>
      </w:r>
      <w:r>
        <w:rPr>
          <w:rFonts w:ascii="Arial" w:hAnsi="Arial" w:eastAsia="宋体" w:cs="Arial"/>
          <w:b/>
          <w:sz w:val="24"/>
          <w:szCs w:val="24"/>
          <w:lang w:eastAsia="zh-CN"/>
        </w:rPr>
        <w:t>,</w:t>
      </w:r>
      <w:r>
        <w:rPr>
          <w:rFonts w:hint="eastAsia" w:ascii="Arial" w:hAnsi="Arial" w:cs="Arial"/>
          <w:b/>
          <w:sz w:val="24"/>
          <w:szCs w:val="24"/>
          <w:lang w:val="en-US" w:eastAsia="zh-CN"/>
        </w:rPr>
        <w:t xml:space="preserve"> CN, April 15</w:t>
      </w:r>
      <w:r>
        <w:rPr>
          <w:rFonts w:ascii="Arial" w:hAnsi="Arial" w:eastAsia="宋体" w:cs="Arial"/>
          <w:b/>
          <w:sz w:val="24"/>
          <w:szCs w:val="24"/>
          <w:lang w:eastAsia="zh-CN"/>
        </w:rPr>
        <w:t xml:space="preserve"> – </w:t>
      </w:r>
      <w:r>
        <w:rPr>
          <w:rFonts w:hint="eastAsia" w:ascii="Arial" w:hAnsi="Arial" w:cs="Arial"/>
          <w:b/>
          <w:sz w:val="24"/>
          <w:szCs w:val="24"/>
          <w:lang w:val="en-US" w:eastAsia="zh-CN"/>
        </w:rPr>
        <w:t>19</w:t>
      </w:r>
      <w:r>
        <w:rPr>
          <w:rFonts w:ascii="Arial" w:hAnsi="Arial" w:eastAsia="宋体" w:cs="Arial"/>
          <w:b/>
          <w:sz w:val="24"/>
          <w:szCs w:val="24"/>
          <w:lang w:eastAsia="zh-CN"/>
        </w:rPr>
        <w:t>, 202</w:t>
      </w:r>
      <w:r>
        <w:rPr>
          <w:rFonts w:hint="eastAsia" w:ascii="Arial" w:hAnsi="Arial" w:cs="Arial"/>
          <w:b/>
          <w:sz w:val="24"/>
          <w:szCs w:val="24"/>
          <w:lang w:val="en-US" w:eastAsia="zh-CN"/>
        </w:rPr>
        <w:t>4</w:t>
      </w:r>
    </w:p>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bookmarkStart w:id="2" w:name="_GoBack"/>
      <w:bookmarkEnd w:id="2"/>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default" w:ascii="Times New Roman" w:hAnsi="Times New Roman" w:eastAsia="宋体" w:cs="Times New Roman"/>
          <w:b/>
          <w:bCs w:val="0"/>
          <w:color w:val="auto"/>
          <w:sz w:val="24"/>
          <w:szCs w:val="24"/>
          <w:highlight w:val="none"/>
          <w:lang w:val="en-US" w:eastAsia="zh-CN"/>
        </w:rPr>
        <w:t>Discussion on</w:t>
      </w:r>
      <w:r>
        <w:rPr>
          <w:rFonts w:hint="eastAsia" w:cs="Times New Roman"/>
          <w:b/>
          <w:bCs w:val="0"/>
          <w:color w:val="auto"/>
          <w:sz w:val="24"/>
          <w:szCs w:val="24"/>
          <w:highlight w:val="none"/>
          <w:lang w:val="en-US" w:eastAsia="zh-CN"/>
        </w:rPr>
        <w:t xml:space="preserve"> NCR EMC work split</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6.18.4</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Discussion</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GB" w:eastAsia="en-US" w:bidi="ar-SA"/>
        </w:rPr>
      </w:pPr>
      <w:r>
        <w:rPr>
          <w:rFonts w:hint="default" w:ascii="Times New Roman" w:hAnsi="Times New Roman" w:eastAsia="宋体" w:cs="Times New Roman"/>
          <w:b/>
          <w:color w:val="auto"/>
          <w:sz w:val="36"/>
          <w:szCs w:val="36"/>
          <w:highlight w:val="none"/>
          <w:lang w:val="en-GB" w:eastAsia="zh-CN" w:bidi="ar-SA"/>
        </w:rPr>
        <w:t>Introduction</w:t>
      </w:r>
    </w:p>
    <w:p>
      <w:pPr>
        <w:keepNext/>
        <w:keepLines/>
        <w:pageBreakBefore w:val="0"/>
        <w:widowControl/>
        <w:kinsoku/>
        <w:wordWrap/>
        <w:overflowPunct/>
        <w:topLinePunct w:val="0"/>
        <w:autoSpaceDE/>
        <w:autoSpaceDN/>
        <w:bidi w:val="0"/>
        <w:adjustRightInd/>
        <w:spacing w:beforeLines="-2147483648" w:after="180" w:afterLines="-2147483648" w:line="240" w:lineRule="auto"/>
        <w:jc w:val="left"/>
        <w:textAlignment w:val="auto"/>
        <w:rPr>
          <w:rFonts w:hint="default" w:eastAsia="宋体" w:cs="Times New Roman"/>
          <w:b w:val="0"/>
          <w:bCs w:val="0"/>
          <w:color w:val="auto"/>
          <w:kern w:val="0"/>
          <w:sz w:val="20"/>
          <w:szCs w:val="20"/>
          <w:lang w:val="en-US" w:eastAsia="zh-CN"/>
        </w:rPr>
      </w:pPr>
      <w:r>
        <w:rPr>
          <w:rFonts w:hint="eastAsia" w:cs="Times New Roman"/>
          <w:b w:val="0"/>
          <w:bCs w:val="0"/>
          <w:color w:val="auto"/>
          <w:kern w:val="0"/>
          <w:sz w:val="20"/>
          <w:szCs w:val="20"/>
          <w:lang w:val="en-US" w:eastAsia="zh-CN"/>
        </w:rPr>
        <w:t>In RAN4#110 meeting, an guidance table has been introduced and captured in WF R4-2402961. This discussion paper will trigger work split based on the that table.</w:t>
      </w:r>
    </w:p>
    <w:p>
      <w:pPr>
        <w:keepNext/>
        <w:keepLines/>
        <w:pageBreakBefore w:val="0"/>
        <w:widowControl/>
        <w:numPr>
          <w:ilvl w:val="0"/>
          <w:numId w:val="7"/>
        </w:numPr>
        <w:pBdr>
          <w:top w:val="single" w:color="auto" w:sz="12" w:space="3"/>
        </w:pBdr>
        <w:kinsoku/>
        <w:wordWrap/>
        <w:overflowPunct/>
        <w:topLinePunct w:val="0"/>
        <w:autoSpaceDE/>
        <w:autoSpaceDN/>
        <w:bidi w:val="0"/>
        <w:adjustRightInd/>
        <w:spacing w:before="240" w:after="180"/>
        <w:ind w:left="420" w:hanging="420"/>
        <w:textAlignment w:val="auto"/>
        <w:outlineLvl w:val="0"/>
        <w:rPr>
          <w:rFonts w:hint="default" w:ascii="Times New Roman" w:hAnsi="Times New Roman" w:eastAsia="宋体" w:cs="Times New Roman"/>
          <w:b/>
          <w:color w:val="auto"/>
          <w:sz w:val="36"/>
          <w:szCs w:val="36"/>
          <w:highlight w:val="none"/>
          <w:lang w:val="en-US" w:eastAsia="zh-CN" w:bidi="ar-SA"/>
        </w:rPr>
      </w:pPr>
      <w:r>
        <w:rPr>
          <w:rFonts w:hint="default" w:ascii="Times New Roman" w:hAnsi="Times New Roman" w:eastAsia="宋体" w:cs="Times New Roman"/>
          <w:b/>
          <w:color w:val="auto"/>
          <w:sz w:val="36"/>
          <w:szCs w:val="36"/>
          <w:highlight w:val="none"/>
          <w:lang w:val="en-GB" w:eastAsia="zh-CN" w:bidi="ar-SA"/>
        </w:rPr>
        <w:t>Discussion</w:t>
      </w:r>
      <w:r>
        <w:rPr>
          <w:rFonts w:hint="eastAsia" w:ascii="Times New Roman" w:hAnsi="Times New Roman" w:eastAsia="宋体" w:cs="Times New Roman"/>
          <w:b/>
          <w:color w:val="auto"/>
          <w:sz w:val="36"/>
          <w:szCs w:val="36"/>
          <w:highlight w:val="none"/>
          <w:lang w:val="en-US" w:eastAsia="zh-CN" w:bidi="ar-SA"/>
        </w:rPr>
        <w:t>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 table below lists the clauses that need to be revised for NCR EMC Perf. According to the timeline, the WI of NCR EMC Perf would be finished and published in June 2024. Therefore we only have two more meetings to finish this topics (RAN4#110bis and RAN4#111). In order to finish the WI on time, we would like to trigger the work split.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7021"/>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8" w:type="dxa"/>
            <w:gridSpan w:val="2"/>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Clause</w:t>
            </w:r>
          </w:p>
        </w:tc>
        <w:tc>
          <w:tcPr>
            <w:tcW w:w="1098"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3"/>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 Test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4.1 General</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Some editorial changes corresponding to NCR are required.</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4.2 Arrangements for establishing a communication link</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NCR-Fwd reuse the NR-ARFCN for BS.</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NCR-MT reuse the NR-ARFCN for UE.</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4.3 Narrow band responses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Some editorial changes corresponding to NCR are required.</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4.4 Exclusion bands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Reuse the exclusion band of NR repeater but introduce the content of NCR</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4.5 NR repeaters test configurations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Wait until the discussion of RF conformance test</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3"/>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 Performance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5.1 General</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Some editorial changes corresponding to NCR are required</w:t>
            </w:r>
            <w:r>
              <w:rPr>
                <w:rFonts w:hint="eastAsia" w:cs="Times New Roman"/>
                <w:b w:val="0"/>
                <w:bCs w:val="0"/>
                <w:i w:val="0"/>
                <w:iCs w:val="0"/>
                <w:kern w:val="0"/>
                <w:sz w:val="20"/>
                <w:vertAlign w:val="baseline"/>
                <w:lang w:val="en-US" w:eastAsia="zh-CN"/>
              </w:rPr>
              <w:t>.</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5.2 NR repeaters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Introduce the performance assessment method for NCR-Fwd and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NCR-Fwd it is recommend to reuse the parameter of NR repeater.</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NCR-MT it is recommend to use the parameter of throughput.</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5.3 Ancillary equipment</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c>
          <w:tcPr>
            <w:tcW w:w="1098"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3"/>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 Performance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6.1 Performance criteria for continuous phenomena for NR repeaters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c>
          <w:tcPr>
            <w:tcW w:w="1098"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6.2 Performance criteria for transient phenomena for NR repeaters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c>
          <w:tcPr>
            <w:tcW w:w="1098"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6.3 Performance criteria for continuous phenomena for NCR</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Introduce the performance criteria for NCR-Fwd and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NCR-Fwd it is recommend to reuse the parameter of NR repeater(power accuracy).</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For NCR-MT it is recommend to use the parameter of throughput.</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6.4 Performance criteria for transient phenomena for NCR</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Introduce the performance assessment method for NCR-Fwd and NCR-MT.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For NCR-Fwd it is recommend to reuse the parameter of NR repeater</w:t>
            </w:r>
            <w:r>
              <w:rPr>
                <w:rFonts w:hint="eastAsia" w:cs="Times New Roman"/>
                <w:b w:val="0"/>
                <w:bCs w:val="0"/>
                <w:i w:val="0"/>
                <w:iCs w:val="0"/>
                <w:kern w:val="0"/>
                <w:sz w:val="20"/>
                <w:vertAlign w:val="baseline"/>
                <w:lang w:val="en-US" w:eastAsia="zh-CN"/>
              </w:rPr>
              <w:t>(power accuracy)</w:t>
            </w:r>
            <w:r>
              <w:rPr>
                <w:rFonts w:hint="default" w:cs="Times New Roman"/>
                <w:b w:val="0"/>
                <w:bCs w:val="0"/>
                <w:i w:val="0"/>
                <w:iCs w:val="0"/>
                <w:kern w:val="0"/>
                <w:sz w:val="20"/>
                <w:vertAlign w:val="baseline"/>
                <w:lang w:val="en-US" w:eastAsia="zh-CN"/>
              </w:rPr>
              <w:t>.</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 xml:space="preserve">For NCR-MT it is recommend to use the parameter </w:t>
            </w:r>
            <w:r>
              <w:rPr>
                <w:rFonts w:hint="eastAsia" w:cs="Times New Roman"/>
                <w:b w:val="0"/>
                <w:bCs w:val="0"/>
                <w:i w:val="0"/>
                <w:iCs w:val="0"/>
                <w:kern w:val="0"/>
                <w:sz w:val="20"/>
                <w:vertAlign w:val="baseline"/>
                <w:lang w:val="en-US" w:eastAsia="zh-CN"/>
              </w:rPr>
              <w:t xml:space="preserve">of </w:t>
            </w:r>
            <w:r>
              <w:rPr>
                <w:rFonts w:hint="default" w:cs="Times New Roman"/>
                <w:b w:val="0"/>
                <w:bCs w:val="0"/>
                <w:i w:val="0"/>
                <w:iCs w:val="0"/>
                <w:kern w:val="0"/>
                <w:sz w:val="20"/>
                <w:vertAlign w:val="baseline"/>
                <w:lang w:val="en-US" w:eastAsia="zh-CN"/>
              </w:rPr>
              <w:t>throughput</w:t>
            </w:r>
            <w:r>
              <w:rPr>
                <w:rFonts w:hint="eastAsia" w:cs="Times New Roman"/>
                <w:b w:val="0"/>
                <w:bCs w:val="0"/>
                <w:i w:val="0"/>
                <w:iCs w:val="0"/>
                <w:kern w:val="0"/>
                <w:sz w:val="20"/>
                <w:vertAlign w:val="baseline"/>
                <w:lang w:val="en-US" w:eastAsia="zh-CN"/>
              </w:rPr>
              <w:t>.</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6.5 Performance criteria for continuous phenomena for Ancillary equipment</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c>
          <w:tcPr>
            <w:tcW w:w="1098"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6.6 Performance criteria for transient phenomena for Ancillary equipment</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No change</w:t>
            </w:r>
          </w:p>
        </w:tc>
        <w:tc>
          <w:tcPr>
            <w:tcW w:w="1098"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3"/>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 xml:space="preserve">8.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8.1 Test configurations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 xml:space="preserve">Some editorial changes </w:t>
            </w:r>
            <w:r>
              <w:rPr>
                <w:rFonts w:hint="eastAsia" w:cs="Times New Roman"/>
                <w:b w:val="0"/>
                <w:bCs w:val="0"/>
                <w:i w:val="0"/>
                <w:iCs w:val="0"/>
                <w:kern w:val="0"/>
                <w:sz w:val="20"/>
                <w:vertAlign w:val="baseline"/>
                <w:lang w:val="en-US" w:eastAsia="zh-CN"/>
              </w:rPr>
              <w:t>corresponding to</w:t>
            </w:r>
            <w:r>
              <w:rPr>
                <w:rFonts w:hint="default" w:cs="Times New Roman"/>
                <w:b w:val="0"/>
                <w:bCs w:val="0"/>
                <w:i w:val="0"/>
                <w:iCs w:val="0"/>
                <w:kern w:val="0"/>
                <w:sz w:val="20"/>
                <w:vertAlign w:val="baseline"/>
                <w:lang w:val="en-US" w:eastAsia="zh-CN"/>
              </w:rPr>
              <w:t xml:space="preserve"> NCR</w:t>
            </w:r>
            <w:r>
              <w:rPr>
                <w:rFonts w:hint="eastAsia" w:cs="Times New Roman"/>
                <w:b w:val="0"/>
                <w:bCs w:val="0"/>
                <w:i w:val="0"/>
                <w:iCs w:val="0"/>
                <w:kern w:val="0"/>
                <w:sz w:val="20"/>
                <w:vertAlign w:val="baseline"/>
                <w:lang w:val="en-US" w:eastAsia="zh-CN"/>
              </w:rPr>
              <w:t xml:space="preserve"> are required.</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8.2 Radiated emission</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It is recommend that the limit for EMC RSE should follow the RF RSE requirements.</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3"/>
          </w:tcPr>
          <w:p>
            <w:pPr>
              <w:keepNext/>
              <w:keepLines/>
              <w:pageBreakBefore w:val="0"/>
              <w:widowControl/>
              <w:numPr>
                <w:ilvl w:val="0"/>
                <w:numId w:val="8"/>
              </w:numPr>
              <w:kinsoku/>
              <w:wordWrap/>
              <w:overflowPunct/>
              <w:topLinePunct w:val="0"/>
              <w:autoSpaceDE/>
              <w:autoSpaceDN/>
              <w:bidi w:val="0"/>
              <w:adjustRightInd/>
              <w:snapToGrid/>
              <w:spacing w:beforeLines="-2147483648" w:after="180" w:afterLines="-2147483648" w:line="259" w:lineRule="auto"/>
              <w:jc w:val="left"/>
              <w:textAlignment w:val="auto"/>
              <w:rPr>
                <w:rFonts w:hint="eastAsia"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Immunity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9.1 Test configurations</w:t>
            </w:r>
          </w:p>
        </w:tc>
        <w:tc>
          <w:tcPr>
            <w:tcW w:w="7021" w:type="dxa"/>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r>
              <w:rPr>
                <w:rFonts w:hint="default" w:cs="Times New Roman"/>
                <w:b w:val="0"/>
                <w:bCs w:val="0"/>
                <w:i w:val="0"/>
                <w:iCs w:val="0"/>
                <w:kern w:val="0"/>
                <w:sz w:val="20"/>
                <w:vertAlign w:val="baseline"/>
                <w:lang w:val="en-US" w:eastAsia="zh-CN"/>
              </w:rPr>
              <w:t>Some editorial changes corresponding to NCR</w:t>
            </w:r>
          </w:p>
        </w:tc>
        <w:tc>
          <w:tcPr>
            <w:tcW w:w="1098" w:type="dxa"/>
            <w:shd w:val="clear" w:color="auto" w:fill="FFFF00"/>
          </w:tcPr>
          <w:p>
            <w:pPr>
              <w:keepNext/>
              <w:keepLines/>
              <w:pageBreakBefore w:val="0"/>
              <w:widowControl/>
              <w:kinsoku/>
              <w:wordWrap/>
              <w:overflowPunct/>
              <w:topLinePunct w:val="0"/>
              <w:autoSpaceDE/>
              <w:autoSpaceDN/>
              <w:bidi w:val="0"/>
              <w:adjustRightInd/>
              <w:snapToGrid/>
              <w:spacing w:beforeLines="-2147483648" w:after="180" w:afterLines="-2147483648" w:line="259" w:lineRule="auto"/>
              <w:jc w:val="left"/>
              <w:textAlignment w:val="auto"/>
              <w:rPr>
                <w:rFonts w:hint="default" w:cs="Times New Roman"/>
                <w:b w:val="0"/>
                <w:bCs w:val="0"/>
                <w:i w:val="0"/>
                <w:iCs w:val="0"/>
                <w:kern w:val="0"/>
                <w:sz w:val="20"/>
                <w:vertAlign w:val="baseline"/>
                <w:lang w:val="en-US" w:eastAsia="zh-CN"/>
              </w:rPr>
            </w:pPr>
          </w:p>
        </w:tc>
      </w:tr>
    </w:tbl>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center"/>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Table 1: </w:t>
      </w:r>
      <w:r>
        <w:rPr>
          <w:rFonts w:hint="eastAsia" w:cs="Times New Roman"/>
          <w:b w:val="0"/>
          <w:bCs w:val="0"/>
          <w:i w:val="0"/>
          <w:iCs w:val="0"/>
          <w:kern w:val="0"/>
          <w:sz w:val="20"/>
          <w:lang w:val="en-US" w:eastAsia="zh-CN"/>
        </w:rPr>
        <w:t>Work split of NCR EMC Perf</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Table 1 provides the work split for NCR EMC Perf. Companies are encouraged to see which clauses they would like to update. Corresponding draft CR should be provided in RAN4#111 meeting.</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Work split for NCR EMC Perf that described in Table 1 should be discussed in RAN4#110 bis meeting.</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default" w:cs="Times New Roman"/>
          <w:b w:val="0"/>
          <w:bCs w:val="0"/>
          <w:i w:val="0"/>
          <w:iCs w:val="0"/>
          <w:kern w:val="0"/>
          <w:sz w:val="20"/>
          <w:lang w:val="en-US" w:eastAsia="zh-CN"/>
        </w:rPr>
      </w:pPr>
    </w:p>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Conclusion</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bookmarkStart w:id="1" w:name="OLE_LINK1"/>
      <w:r>
        <w:rPr>
          <w:rFonts w:hint="eastAsia" w:cs="Times New Roman"/>
          <w:b/>
          <w:bCs/>
          <w:i w:val="0"/>
          <w:iCs w:val="0"/>
          <w:kern w:val="0"/>
          <w:sz w:val="20"/>
          <w:lang w:val="en-US" w:eastAsia="zh-CN"/>
        </w:rPr>
        <w:t xml:space="preserve">Proposal 1: </w:t>
      </w:r>
      <w:r>
        <w:rPr>
          <w:rFonts w:hint="eastAsia" w:cs="Times New Roman"/>
          <w:b w:val="0"/>
          <w:bCs w:val="0"/>
          <w:i w:val="0"/>
          <w:iCs w:val="0"/>
          <w:kern w:val="0"/>
          <w:sz w:val="20"/>
          <w:lang w:val="en-US" w:eastAsia="zh-CN"/>
        </w:rPr>
        <w:t>Work split for NCR EMC Perf that described in Table 1 should be discussed in RAN4#110 bis meeting.</w:t>
      </w:r>
    </w:p>
    <w:p>
      <w:pPr>
        <w:keepNext/>
        <w:keepLines/>
        <w:pageBreakBefore w:val="0"/>
        <w:widowControl/>
        <w:kinsoku/>
        <w:wordWrap/>
        <w:overflowPunct/>
        <w:topLinePunct w:val="0"/>
        <w:autoSpaceDE/>
        <w:autoSpaceDN/>
        <w:bidi w:val="0"/>
        <w:adjustRightInd/>
        <w:snapToGrid/>
        <w:spacing w:beforeLines="-2147483648" w:after="180" w:afterLines="-2147483648" w:line="259" w:lineRule="auto"/>
        <w:ind w:left="0" w:leftChars="0" w:firstLine="0" w:firstLineChars="0"/>
        <w:jc w:val="left"/>
        <w:textAlignment w:val="auto"/>
        <w:rPr>
          <w:rFonts w:hint="eastAsia" w:cs="Times New Roman"/>
          <w:b w:val="0"/>
          <w:bCs w:val="0"/>
          <w:i w:val="0"/>
          <w:iCs w:val="0"/>
          <w:kern w:val="0"/>
          <w:sz w:val="20"/>
          <w:lang w:val="en-US" w:eastAsia="zh-CN"/>
        </w:rPr>
      </w:pPr>
    </w:p>
    <w:p>
      <w:pPr>
        <w:keepNext/>
        <w:keepLines/>
        <w:pageBreakBefore w:val="0"/>
        <w:widowControl/>
        <w:kinsoku/>
        <w:wordWrap/>
        <w:overflowPunct/>
        <w:topLinePunct w:val="0"/>
        <w:autoSpaceDE/>
        <w:autoSpaceDN/>
        <w:bidi w:val="0"/>
        <w:adjustRightInd/>
        <w:snapToGrid/>
        <w:spacing w:beforeLines="-2147483648" w:after="180" w:afterLines="-2147483648" w:line="240" w:lineRule="auto"/>
        <w:ind w:firstLine="0" w:firstLineChars="0"/>
        <w:jc w:val="left"/>
        <w:textAlignment w:val="auto"/>
        <w:rPr>
          <w:rFonts w:hint="default" w:ascii="Times New Roman" w:hAnsi="Times New Roman" w:eastAsia="宋体" w:cs="Times New Roman"/>
          <w:b w:val="0"/>
          <w:bCs w:val="0"/>
          <w:color w:val="auto"/>
          <w:kern w:val="0"/>
          <w:sz w:val="20"/>
          <w:szCs w:val="20"/>
          <w:highlight w:val="none"/>
          <w:lang w:val="en-US" w:eastAsia="zh-CN"/>
        </w:rPr>
      </w:pPr>
    </w:p>
    <w:bookmarkEnd w:id="1"/>
    <w:p>
      <w:pPr>
        <w:keepNext/>
        <w:keepLines/>
        <w:pageBreakBefore w:val="0"/>
        <w:widowControl/>
        <w:numPr>
          <w:ilvl w:val="0"/>
          <w:numId w:val="7"/>
        </w:numPr>
        <w:pBdr>
          <w:top w:val="single" w:color="auto" w:sz="12" w:space="3"/>
        </w:pBdr>
        <w:kinsoku/>
        <w:wordWrap/>
        <w:overflowPunct/>
        <w:topLinePunct w:val="0"/>
        <w:autoSpaceDE/>
        <w:autoSpaceDN/>
        <w:bidi w:val="0"/>
        <w:adjustRightInd/>
        <w:snapToGrid/>
        <w:spacing w:before="240" w:after="180"/>
        <w:ind w:left="420" w:hanging="420"/>
        <w:textAlignment w:val="auto"/>
        <w:outlineLvl w:val="0"/>
        <w:rPr>
          <w:rFonts w:hint="default" w:ascii="Times New Roman" w:hAnsi="Times New Roman" w:eastAsia="宋体" w:cs="Times New Roman"/>
          <w:b/>
          <w:color w:val="auto"/>
          <w:sz w:val="28"/>
          <w:szCs w:val="24"/>
          <w:highlight w:val="none"/>
          <w:lang w:val="en-GB" w:eastAsia="zh-CN" w:bidi="ar-SA"/>
        </w:rPr>
      </w:pPr>
      <w:r>
        <w:rPr>
          <w:rFonts w:hint="default" w:ascii="Times New Roman" w:hAnsi="Times New Roman" w:eastAsia="宋体" w:cs="Times New Roman"/>
          <w:b/>
          <w:color w:val="auto"/>
          <w:sz w:val="28"/>
          <w:szCs w:val="24"/>
          <w:highlight w:val="none"/>
          <w:lang w:val="en-GB" w:eastAsia="zh-CN" w:bidi="ar-SA"/>
        </w:rPr>
        <w:t>Reference</w:t>
      </w:r>
    </w:p>
    <w:p>
      <w:pPr>
        <w:keepNext/>
        <w:keepLines/>
        <w:pageBreakBefore w:val="0"/>
        <w:widowControl/>
        <w:numPr>
          <w:ilvl w:val="0"/>
          <w:numId w:val="9"/>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TS38.114</w:t>
      </w:r>
    </w:p>
    <w:p>
      <w:pPr>
        <w:keepNext/>
        <w:keepLines/>
        <w:pageBreakBefore w:val="0"/>
        <w:widowControl/>
        <w:numPr>
          <w:ilvl w:val="0"/>
          <w:numId w:val="9"/>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lang w:val="en-US" w:eastAsia="zh-CN"/>
        </w:rPr>
      </w:pPr>
      <w:r>
        <w:rPr>
          <w:rFonts w:hint="eastAsia" w:cs="Times New Roman"/>
          <w:color w:val="auto"/>
          <w:kern w:val="2"/>
          <w:sz w:val="22"/>
          <w:highlight w:val="none"/>
          <w:lang w:val="en-US" w:eastAsia="zh-CN"/>
        </w:rPr>
        <w:t>TS38.106</w:t>
      </w:r>
    </w:p>
    <w:p>
      <w:pPr>
        <w:keepNext/>
        <w:keepLines/>
        <w:pageBreakBefore w:val="0"/>
        <w:widowControl/>
        <w:numPr>
          <w:ilvl w:val="0"/>
          <w:numId w:val="9"/>
        </w:numPr>
        <w:kinsoku/>
        <w:wordWrap/>
        <w:overflowPunct/>
        <w:topLinePunct w:val="0"/>
        <w:autoSpaceDE/>
        <w:autoSpaceDN/>
        <w:bidi w:val="0"/>
        <w:adjustRightInd/>
        <w:snapToGrid/>
        <w:spacing w:beforeLines="-2147483648" w:after="180" w:afterLines="-2147483648" w:line="240" w:lineRule="auto"/>
        <w:jc w:val="left"/>
        <w:textAlignment w:val="auto"/>
        <w:rPr>
          <w:rFonts w:hint="default" w:eastAsia="宋体"/>
          <w:sz w:val="18"/>
          <w:szCs w:val="18"/>
          <w:highlight w:val="none"/>
          <w:lang w:val="en-US" w:eastAsia="zh-CN"/>
        </w:rPr>
      </w:pPr>
      <w:r>
        <w:rPr>
          <w:rFonts w:hint="eastAsia" w:cs="Times New Roman"/>
          <w:color w:val="auto"/>
          <w:kern w:val="2"/>
          <w:sz w:val="22"/>
          <w:highlight w:val="none"/>
          <w:lang w:val="en-US" w:eastAsia="zh-CN"/>
        </w:rPr>
        <w:t>R4-2402961</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14EE1E1"/>
    <w:multiLevelType w:val="singleLevel"/>
    <w:tmpl w:val="514EE1E1"/>
    <w:lvl w:ilvl="0" w:tentative="0">
      <w:start w:val="9"/>
      <w:numFmt w:val="decimal"/>
      <w:suff w:val="space"/>
      <w:lvlText w:val="%1."/>
      <w:lvlJc w:val="left"/>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BB7C7D0"/>
    <w:multiLevelType w:val="singleLevel"/>
    <w:tmpl w:val="5BB7C7D0"/>
    <w:lvl w:ilvl="0" w:tentative="0">
      <w:start w:val="1"/>
      <w:numFmt w:val="decimal"/>
      <w:suff w:val="space"/>
      <w:lvlText w:val="[%1]"/>
      <w:lvlJc w:val="left"/>
    </w:lvl>
  </w:abstractNum>
  <w:num w:numId="1">
    <w:abstractNumId w:val="2"/>
  </w:num>
  <w:num w:numId="2">
    <w:abstractNumId w:val="7"/>
  </w:num>
  <w:num w:numId="3">
    <w:abstractNumId w:val="3"/>
  </w:num>
  <w:num w:numId="4">
    <w:abstractNumId w:val="5"/>
  </w:num>
  <w:num w:numId="5">
    <w:abstractNumId w:val="1"/>
  </w:num>
  <w:num w:numId="6">
    <w:abstractNumId w:val="0"/>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60C"/>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549D1"/>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41731"/>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657241"/>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687E91"/>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BD04DC1"/>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95E34"/>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DE3489"/>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C7513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62353"/>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245BE"/>
    <w:rsid w:val="20C6317E"/>
    <w:rsid w:val="20C849C7"/>
    <w:rsid w:val="20C96A07"/>
    <w:rsid w:val="20D51E1A"/>
    <w:rsid w:val="20DF66D2"/>
    <w:rsid w:val="20EC3F2E"/>
    <w:rsid w:val="20EC7C3E"/>
    <w:rsid w:val="21024A33"/>
    <w:rsid w:val="210548E9"/>
    <w:rsid w:val="21124D15"/>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6243F"/>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509B6"/>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281B50"/>
    <w:rsid w:val="294E766A"/>
    <w:rsid w:val="296B203C"/>
    <w:rsid w:val="297161D3"/>
    <w:rsid w:val="297358DE"/>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3A4B91"/>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509DC"/>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46B5D"/>
    <w:rsid w:val="351A603C"/>
    <w:rsid w:val="352821F6"/>
    <w:rsid w:val="3533698A"/>
    <w:rsid w:val="35387F19"/>
    <w:rsid w:val="3539550B"/>
    <w:rsid w:val="35533061"/>
    <w:rsid w:val="356678B4"/>
    <w:rsid w:val="3573649F"/>
    <w:rsid w:val="357E4B0A"/>
    <w:rsid w:val="35866D7F"/>
    <w:rsid w:val="358F2111"/>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5049A"/>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7C0C21"/>
    <w:rsid w:val="3E8227F0"/>
    <w:rsid w:val="3E8316FA"/>
    <w:rsid w:val="3E900915"/>
    <w:rsid w:val="3E937F82"/>
    <w:rsid w:val="3E9B4B40"/>
    <w:rsid w:val="3EB71AC8"/>
    <w:rsid w:val="3EC71336"/>
    <w:rsid w:val="3EC85E34"/>
    <w:rsid w:val="3ECF2AAC"/>
    <w:rsid w:val="3ED0424C"/>
    <w:rsid w:val="3ED07B7E"/>
    <w:rsid w:val="3ED16FB1"/>
    <w:rsid w:val="3EE97947"/>
    <w:rsid w:val="3EEB4E5A"/>
    <w:rsid w:val="3EF31E7F"/>
    <w:rsid w:val="3EF36DF0"/>
    <w:rsid w:val="3F017B9F"/>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24E73"/>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36A18"/>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80E63"/>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70F1D"/>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14DB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80073"/>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1B3CA3"/>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9CB"/>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6D32D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091437"/>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6C7440"/>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0EC6A6B"/>
    <w:rsid w:val="61110088"/>
    <w:rsid w:val="61421EFD"/>
    <w:rsid w:val="61532759"/>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42319"/>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E477F1"/>
    <w:rsid w:val="63F47D2A"/>
    <w:rsid w:val="63FE2D33"/>
    <w:rsid w:val="64046427"/>
    <w:rsid w:val="64264A79"/>
    <w:rsid w:val="64304E58"/>
    <w:rsid w:val="64311867"/>
    <w:rsid w:val="64391ED3"/>
    <w:rsid w:val="6445632E"/>
    <w:rsid w:val="644D3D02"/>
    <w:rsid w:val="64632BF7"/>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5FD167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953FED"/>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BEE54B3"/>
    <w:rsid w:val="6C0858B3"/>
    <w:rsid w:val="6C240DF3"/>
    <w:rsid w:val="6C45610F"/>
    <w:rsid w:val="6C59472D"/>
    <w:rsid w:val="6C5A4564"/>
    <w:rsid w:val="6C603744"/>
    <w:rsid w:val="6C610784"/>
    <w:rsid w:val="6C637CCF"/>
    <w:rsid w:val="6C731C6C"/>
    <w:rsid w:val="6C7802EB"/>
    <w:rsid w:val="6C89456C"/>
    <w:rsid w:val="6CA20D5B"/>
    <w:rsid w:val="6CAB15F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C411A6"/>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9E6318"/>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16CC9"/>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CE022D"/>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151CF1"/>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27ADF"/>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DDB1364"/>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1F3A66"/>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67</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ZTE(Xiangwei Jing)</cp:lastModifiedBy>
  <dcterms:modified xsi:type="dcterms:W3CDTF">2024-04-08T01:33:42Z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3E2AF762D3E442F5A7D7C5EDAABE573E</vt:lpwstr>
  </property>
</Properties>
</file>